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7F33E" w14:textId="584B90AD" w:rsidR="0020375F" w:rsidRDefault="0020375F" w:rsidP="0020375F">
      <w:pPr>
        <w:pStyle w:val="Cmsor1"/>
        <w:rPr>
          <w:rFonts w:ascii="Aptos" w:hAnsi="Aptos"/>
        </w:rPr>
      </w:pPr>
      <w:bookmarkStart w:id="0" w:name="_Toc236743473"/>
      <w:r>
        <w:rPr>
          <w:rFonts w:ascii="Verdana" w:hAnsi="Verdana"/>
          <w:b/>
          <w:bCs/>
          <w:noProof/>
        </w:rPr>
        <w:drawing>
          <wp:inline distT="0" distB="0" distL="0" distR="0" wp14:anchorId="65FA2020" wp14:editId="47AF5F50">
            <wp:extent cx="1835150" cy="795996"/>
            <wp:effectExtent l="0" t="0" r="0" b="4445"/>
            <wp:docPr id="152202069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20694" name="Kép 15220206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528" cy="80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6BD50" w14:textId="77777777" w:rsidR="0020375F" w:rsidRPr="0020375F" w:rsidRDefault="0020375F" w:rsidP="0020375F">
      <w:pPr>
        <w:spacing w:line="276" w:lineRule="auto"/>
        <w:rPr>
          <w:b/>
          <w:bCs/>
          <w:color w:val="000000" w:themeColor="text1"/>
          <w:sz w:val="28"/>
          <w:szCs w:val="28"/>
        </w:rPr>
      </w:pPr>
      <w:r w:rsidRPr="0020375F">
        <w:rPr>
          <w:b/>
          <w:bCs/>
          <w:color w:val="000000" w:themeColor="text1"/>
          <w:sz w:val="28"/>
          <w:szCs w:val="28"/>
        </w:rPr>
        <w:t>Élő környezet, cselekvő társadalom</w:t>
      </w:r>
    </w:p>
    <w:p w14:paraId="3E6FE870" w14:textId="4C8E6731" w:rsidR="0020375F" w:rsidRPr="0020375F" w:rsidRDefault="0020375F" w:rsidP="0020375F">
      <w:pPr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K</w:t>
      </w:r>
      <w:r w:rsidRPr="0020375F">
        <w:rPr>
          <w:color w:val="000000" w:themeColor="text1"/>
          <w:sz w:val="28"/>
          <w:szCs w:val="28"/>
        </w:rPr>
        <w:t xml:space="preserve">örnyezet- és klímavédelmi szemléletformálási és viselkedésváltoztatási </w:t>
      </w:r>
    </w:p>
    <w:p w14:paraId="6F8421B0" w14:textId="754DA2EA" w:rsidR="0020375F" w:rsidRPr="0020375F" w:rsidRDefault="0020375F" w:rsidP="0020375F">
      <w:pPr>
        <w:spacing w:line="276" w:lineRule="auto"/>
        <w:rPr>
          <w:color w:val="000000" w:themeColor="text1"/>
        </w:rPr>
      </w:pPr>
      <w:r w:rsidRPr="0020375F">
        <w:rPr>
          <w:color w:val="000000" w:themeColor="text1"/>
          <w:sz w:val="28"/>
          <w:szCs w:val="28"/>
        </w:rPr>
        <w:t>szakpolitikai ajánlás az Élő Környezetért Felelős Minisztérium (ÉKFM) részére</w:t>
      </w:r>
    </w:p>
    <w:p w14:paraId="25DE11E9" w14:textId="6BBDE842" w:rsidR="0020375F" w:rsidRDefault="0020375F" w:rsidP="0020375F">
      <w:pPr>
        <w:pStyle w:val="Cmsor1"/>
        <w:rPr>
          <w:rFonts w:ascii="Aptos" w:hAnsi="Aptos"/>
        </w:rPr>
      </w:pPr>
      <w:r w:rsidRPr="00B83875">
        <w:rPr>
          <w:rFonts w:ascii="Aptos" w:hAnsi="Aptos"/>
        </w:rPr>
        <w:t>Vezetői összefoglaló és TOP10 ajánlás</w:t>
      </w:r>
      <w:bookmarkEnd w:id="0"/>
    </w:p>
    <w:p w14:paraId="236A4A74" w14:textId="77777777" w:rsidR="0020375F" w:rsidRPr="0020375F" w:rsidRDefault="0020375F" w:rsidP="0020375F"/>
    <w:p w14:paraId="5361CC65" w14:textId="77777777" w:rsidR="0020375F" w:rsidRPr="00B83875" w:rsidRDefault="0020375F" w:rsidP="0020375F">
      <w:pPr>
        <w:spacing w:after="120"/>
        <w:jc w:val="both"/>
        <w:rPr>
          <w:rFonts w:cs="Arial"/>
        </w:rPr>
      </w:pPr>
      <w:r w:rsidRPr="00B83875">
        <w:rPr>
          <w:rFonts w:cs="Arial"/>
        </w:rPr>
        <w:t>A KSZGYSZ, illetve a Szemléletformálás, kommunikáció és edukáció munkacsoportja</w:t>
      </w:r>
      <w:r w:rsidRPr="00B83875">
        <w:rPr>
          <w:rStyle w:val="Lbjegyzet-hivatkozs"/>
          <w:rFonts w:cs="Arial"/>
        </w:rPr>
        <w:footnoteReference w:id="1"/>
      </w:r>
      <w:r w:rsidRPr="00B83875">
        <w:rPr>
          <w:rFonts w:cs="Arial"/>
        </w:rPr>
        <w:t xml:space="preserve">, mint a zöldgazdaság és a környezetvédelem meghatározó hazai ernyőszervezete, közel 70 szakember bevonásával, ezen </w:t>
      </w:r>
      <w:r w:rsidRPr="00660C21">
        <w:rPr>
          <w:rFonts w:eastAsia="Aptos"/>
        </w:rPr>
        <w:t>szakpolitikai ajánlás</w:t>
      </w:r>
      <w:r>
        <w:rPr>
          <w:rFonts w:eastAsia="Aptos"/>
        </w:rPr>
        <w:t xml:space="preserve"> </w:t>
      </w:r>
      <w:r w:rsidRPr="00B83875">
        <w:rPr>
          <w:rFonts w:cs="Arial"/>
        </w:rPr>
        <w:t xml:space="preserve">kereteinek felvázolásával kívánja támogatni az ÉKFM stratégiai tervezőmunkáját a fenntartható fejlődés, a klímaalkalmazkodás és az ökológiai egyensúly fenntartása területén.  </w:t>
      </w:r>
    </w:p>
    <w:p w14:paraId="69EB13BC" w14:textId="77777777" w:rsidR="0020375F" w:rsidRPr="00EC3F32" w:rsidRDefault="0020375F" w:rsidP="0020375F">
      <w:pPr>
        <w:pStyle w:val="Normal5"/>
        <w:spacing w:after="120"/>
        <w:jc w:val="both"/>
        <w:rPr>
          <w:lang w:val="hu-HU"/>
        </w:rPr>
      </w:pPr>
      <w:r>
        <w:rPr>
          <w:lang w:val="hu-HU"/>
        </w:rPr>
        <w:t xml:space="preserve">Az ajánlás szemléleti kiindulópontja, hogy a környezetvédelem ma már nem különálló ügy, hanem a gazdaság, az intézmények és a mindennapi élet szereplőinek közös működési környezete. A környezet- és klímavédelemnek ezért nem külön „zöld ügyként”, hanem a modern, egészséges, biztonságos, kényelmes és kívánatos jó élet működési feltételeként kell megjelennie, mert ez adja a dokumentum egységes társadalmi pozícióját. A zöld átmenet akkor válik társadalmilag elfogadottá és gyakorlatban is működőképessé, ha a környezeti és klímavédelmi felelősség nem elvont üzenetként, hanem érthető, mérhető és követhető cselekvési mintaként jelenik meg a lakosság - akiket nem szűkíthetünk le pusztán fogyasztókra, hiszen ugyanaz az ember polgár, szülő, munkavállaló, választó, szomszéd, közösségi tag és tartalomkészítő is -, valamint az oktatási intézmények, az önkormányzatok és a vállalatok számára. Emellett a szabályozásnak és a finanszírozásnak, mint másik két stabil pillérnek, támogatnia kell a szemléletformálás és </w:t>
      </w:r>
      <w:r w:rsidRPr="00C52AC6">
        <w:rPr>
          <w:lang w:val="hu-HU"/>
        </w:rPr>
        <w:t>viselkedésváltoztatás</w:t>
      </w:r>
      <w:r>
        <w:rPr>
          <w:lang w:val="hu-HU"/>
        </w:rPr>
        <w:t xml:space="preserve"> céljait, mert ha nincs meg a támogató környezet (a lehetőség), akkor bármilyen ütős kampányunk van, nem fogjuk elérni a változást. </w:t>
      </w:r>
    </w:p>
    <w:p w14:paraId="7A60F35A" w14:textId="77777777" w:rsidR="0020375F" w:rsidRPr="00B83875" w:rsidRDefault="0020375F" w:rsidP="0020375F">
      <w:pPr>
        <w:jc w:val="both"/>
        <w:rPr>
          <w:b/>
        </w:rPr>
      </w:pPr>
      <w:r w:rsidRPr="00B83875">
        <w:t xml:space="preserve">A fenntarthatósági átmenet így nemcsak jobb vásárlási döntésekből áll, hanem közösségi részvételből, munkahelyi és intézményi normákból, demokratikus támogatásból és közös infrastruktúrák használatából. </w:t>
      </w:r>
      <w:r w:rsidRPr="00B83875">
        <w:rPr>
          <w:b/>
        </w:rPr>
        <w:t>Ezért a szemléletformálásnak</w:t>
      </w:r>
      <w:r w:rsidRPr="00B83875">
        <w:t xml:space="preserve"> - ezt a tágabb szerepfelfogást tükrözve - nem kampányszerű tájékoztatásként, hanem </w:t>
      </w:r>
      <w:r w:rsidRPr="00B83875">
        <w:rPr>
          <w:b/>
        </w:rPr>
        <w:t>bizalmat, kompetenciát és együttműködést építő folyamatos, szakmai infrastruktúraként (ökoszisztémaként) kell működnie.</w:t>
      </w:r>
    </w:p>
    <w:p w14:paraId="7464BEA6" w14:textId="77777777" w:rsidR="0020375F" w:rsidRPr="00B83875" w:rsidRDefault="0020375F" w:rsidP="0020375F">
      <w:pPr>
        <w:jc w:val="both"/>
        <w:rPr>
          <w:b/>
        </w:rPr>
      </w:pPr>
    </w:p>
    <w:p w14:paraId="57F2E95A" w14:textId="77777777" w:rsidR="0020375F" w:rsidRPr="00B83875" w:rsidRDefault="0020375F" w:rsidP="0020375F">
      <w:pPr>
        <w:jc w:val="both"/>
        <w:rPr>
          <w:b/>
        </w:rPr>
      </w:pPr>
      <w:r w:rsidRPr="00B83875">
        <w:rPr>
          <w:b/>
          <w:noProof/>
          <w14:ligatures w14:val="standardContextual"/>
        </w:rPr>
        <w:drawing>
          <wp:inline distT="0" distB="0" distL="0" distR="0" wp14:anchorId="3F430511" wp14:editId="0926428F">
            <wp:extent cx="5760720" cy="739775"/>
            <wp:effectExtent l="0" t="0" r="0" b="3175"/>
            <wp:docPr id="2067743828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43828" name="Kép 20677438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F1610" w14:textId="77777777" w:rsidR="0020375F" w:rsidRPr="00B83875" w:rsidRDefault="0020375F" w:rsidP="0020375F">
      <w:pPr>
        <w:jc w:val="both"/>
        <w:rPr>
          <w:b/>
        </w:rPr>
      </w:pPr>
    </w:p>
    <w:p w14:paraId="1B2E1AAA" w14:textId="77777777" w:rsidR="0020375F" w:rsidRPr="00B83875" w:rsidRDefault="0020375F" w:rsidP="0020375F">
      <w:pPr>
        <w:pStyle w:val="Listaszerbekezds"/>
        <w:numPr>
          <w:ilvl w:val="0"/>
          <w:numId w:val="1"/>
        </w:numPr>
        <w:jc w:val="both"/>
        <w:rPr>
          <w:i/>
          <w:sz w:val="18"/>
          <w:szCs w:val="18"/>
        </w:rPr>
      </w:pPr>
      <w:r w:rsidRPr="00B83875">
        <w:rPr>
          <w:i/>
          <w:sz w:val="18"/>
          <w:szCs w:val="18"/>
        </w:rPr>
        <w:t xml:space="preserve">ábra: A szemlélet rendszerszintű változásának egyszerűsített folyamata. Forrás: KSZGYSZ, Vekkel L. </w:t>
      </w:r>
    </w:p>
    <w:p w14:paraId="52C19DBC" w14:textId="77777777" w:rsidR="0020375F" w:rsidRPr="00B83875" w:rsidRDefault="0020375F" w:rsidP="0020375F">
      <w:pPr>
        <w:jc w:val="both"/>
      </w:pPr>
    </w:p>
    <w:p w14:paraId="68CD150E" w14:textId="77777777" w:rsidR="0020375F" w:rsidRPr="00B83875" w:rsidRDefault="0020375F" w:rsidP="0020375F">
      <w:pPr>
        <w:jc w:val="both"/>
      </w:pPr>
      <w:r w:rsidRPr="00B83875">
        <w:lastRenderedPageBreak/>
        <w:t xml:space="preserve">A több mint 50 szervezet és szakértő bevonásával készült szakmai ajánlásból tíz kiemelt intézkedést emelünk ki. A teljes </w:t>
      </w:r>
      <w:r w:rsidRPr="00660C21">
        <w:rPr>
          <w:rFonts w:eastAsia="Aptos"/>
        </w:rPr>
        <w:t>szakpolitikai ajánlás</w:t>
      </w:r>
      <w:r>
        <w:rPr>
          <w:rFonts w:eastAsia="Aptos"/>
        </w:rPr>
        <w:t xml:space="preserve"> </w:t>
      </w:r>
      <w:r w:rsidRPr="00B83875">
        <w:t>több ponton jelzi azt is, hol szükséges további elemzés, kutatás vagy felmérés ahhoz, hogy az anyag később átfogó stratégiává fejlődhessen.</w:t>
      </w:r>
    </w:p>
    <w:p w14:paraId="1EAD992C" w14:textId="77777777" w:rsidR="0020375F" w:rsidRPr="00B83875" w:rsidRDefault="0020375F" w:rsidP="0020375F">
      <w:pPr>
        <w:jc w:val="both"/>
      </w:pPr>
    </w:p>
    <w:p w14:paraId="04D9F3B8" w14:textId="77777777" w:rsidR="0020375F" w:rsidRPr="00B83875" w:rsidRDefault="0020375F" w:rsidP="0020375F">
      <w:pPr>
        <w:rPr>
          <w:b/>
        </w:rPr>
      </w:pPr>
      <w:r w:rsidRPr="00B83875">
        <w:rPr>
          <w:b/>
        </w:rPr>
        <w:t>TOP 10 stratégiai intézkedési javaslat</w:t>
      </w:r>
    </w:p>
    <w:p w14:paraId="38679F4E" w14:textId="77777777" w:rsidR="0020375F" w:rsidRPr="00B83875" w:rsidRDefault="0020375F" w:rsidP="0020375F">
      <w:pPr>
        <w:rPr>
          <w:b/>
        </w:rPr>
      </w:pPr>
      <w:r w:rsidRPr="00B83875">
        <w:rPr>
          <w:b/>
        </w:rPr>
        <w:t xml:space="preserve">1. </w:t>
      </w:r>
      <w:r w:rsidRPr="00923CFF">
        <w:rPr>
          <w:rFonts w:cstheme="minorBidi"/>
          <w:b/>
          <w:bCs/>
        </w:rPr>
        <w:t>Országos Fenntarthatósági Szemléletformálási Akcióterv (202</w:t>
      </w:r>
      <w:r>
        <w:rPr>
          <w:rFonts w:cstheme="minorBidi"/>
          <w:b/>
          <w:bCs/>
        </w:rPr>
        <w:t>6</w:t>
      </w:r>
      <w:r w:rsidRPr="00923CFF">
        <w:rPr>
          <w:rFonts w:cstheme="minorBidi"/>
          <w:b/>
          <w:bCs/>
        </w:rPr>
        <w:t>-2030)</w:t>
      </w:r>
    </w:p>
    <w:p w14:paraId="7A57356B" w14:textId="77777777" w:rsidR="0020375F" w:rsidRPr="00B83875" w:rsidRDefault="0020375F" w:rsidP="0020375F">
      <w:pPr>
        <w:spacing w:after="120"/>
      </w:pPr>
      <w:r w:rsidRPr="00B83875">
        <w:t>Azonnal indítható akcióterv kidolgozása, elfogadása és elindítása. Ehhez az akcióterv megfelelő keretet és tervezhetőséget biztosít. (</w:t>
      </w:r>
      <w:hyperlink w:anchor="_Országos_Fenntarthatósági_Szemlélet" w:history="1">
        <w:r w:rsidRPr="00B83875">
          <w:rPr>
            <w:rStyle w:val="Hiperhivatkozs"/>
          </w:rPr>
          <w:t>9. fejezet</w:t>
        </w:r>
      </w:hyperlink>
      <w:r w:rsidRPr="00B83875">
        <w:t>)</w:t>
      </w:r>
    </w:p>
    <w:p w14:paraId="7EA95203" w14:textId="77777777" w:rsidR="0020375F" w:rsidRPr="00B83875" w:rsidRDefault="0020375F" w:rsidP="0020375F">
      <w:pPr>
        <w:spacing w:after="120"/>
      </w:pPr>
      <w:r w:rsidRPr="00B83875">
        <w:rPr>
          <w:b/>
        </w:rPr>
        <w:t>2. ’Országos Fenntarthatósági Koordinációs Központ’ létrehozása</w:t>
      </w:r>
      <w:r w:rsidRPr="00B83875">
        <w:br/>
        <w:t>A szemléletformálási programok, tudásbázisok és partnerségi hálózatok országos összehangolása érdekében szükséges egy dedikált szervezet, egység, vagy munkacsoport, ahol a futó és fejlesztendő projektek összefogásra kerülnek, stratégiai irányvonalak születnek és nemzetközi képviselet valósul meg. (</w:t>
      </w:r>
      <w:hyperlink w:anchor="_Működési_modell" w:history="1">
        <w:r w:rsidRPr="00B83875">
          <w:rPr>
            <w:rStyle w:val="Hiperhivatkozs"/>
          </w:rPr>
          <w:t>4. fejezet</w:t>
        </w:r>
      </w:hyperlink>
      <w:r w:rsidRPr="00B83875">
        <w:t>)</w:t>
      </w:r>
    </w:p>
    <w:p w14:paraId="40BC3EF1" w14:textId="77777777" w:rsidR="0020375F" w:rsidRPr="00B83875" w:rsidRDefault="0020375F" w:rsidP="0020375F">
      <w:pPr>
        <w:spacing w:after="120"/>
      </w:pPr>
      <w:r w:rsidRPr="00B83875">
        <w:rPr>
          <w:b/>
        </w:rPr>
        <w:t>3. Fenntarthatósági Szemléletformálási Alap létrehozása</w:t>
      </w:r>
      <w:r w:rsidRPr="00B83875">
        <w:rPr>
          <w:b/>
        </w:rPr>
        <w:br/>
      </w:r>
      <w:r w:rsidRPr="00B83875">
        <w:t>Kiszámítható finanszírozás biztosítása. (</w:t>
      </w:r>
      <w:hyperlink w:anchor="_Finanszírozás_és_Fenntarthatósági" w:history="1">
        <w:r w:rsidRPr="00B83875">
          <w:rPr>
            <w:rStyle w:val="Hiperhivatkozs"/>
          </w:rPr>
          <w:t>5. fejezet</w:t>
        </w:r>
      </w:hyperlink>
      <w:r w:rsidRPr="00B83875">
        <w:t>)</w:t>
      </w:r>
    </w:p>
    <w:p w14:paraId="10C77527" w14:textId="77777777" w:rsidR="0020375F" w:rsidRPr="00B83875" w:rsidRDefault="0020375F" w:rsidP="0020375F">
      <w:pPr>
        <w:spacing w:after="120"/>
      </w:pPr>
      <w:r w:rsidRPr="00B83875">
        <w:rPr>
          <w:b/>
        </w:rPr>
        <w:t>4. Nemzeti Fenntarthatósági Tudástár létrehozása</w:t>
      </w:r>
      <w:r w:rsidRPr="00B83875">
        <w:rPr>
          <w:b/>
        </w:rPr>
        <w:br/>
      </w:r>
      <w:r w:rsidRPr="00B83875">
        <w:t>Minden állami, tudományos és civil tudásanyag egységes rendszerbe szervezése.</w:t>
      </w:r>
    </w:p>
    <w:p w14:paraId="4EE6053A" w14:textId="77777777" w:rsidR="0020375F" w:rsidRPr="00B83875" w:rsidRDefault="0020375F" w:rsidP="0020375F">
      <w:pPr>
        <w:spacing w:after="120"/>
      </w:pPr>
      <w:r w:rsidRPr="00B83875">
        <w:rPr>
          <w:b/>
        </w:rPr>
        <w:t xml:space="preserve">5. </w:t>
      </w:r>
      <w:commentRangeStart w:id="1"/>
      <w:r w:rsidRPr="00B83875">
        <w:rPr>
          <w:b/>
        </w:rPr>
        <w:t xml:space="preserve">Országos hatásmérési és </w:t>
      </w:r>
      <w:r w:rsidRPr="00B83875">
        <w:rPr>
          <w:rFonts w:cs="Arial"/>
          <w:b/>
        </w:rPr>
        <w:t>minőségbiztosítási</w:t>
      </w:r>
      <w:r w:rsidRPr="00B83875">
        <w:rPr>
          <w:rFonts w:cs="Arial"/>
        </w:rPr>
        <w:t xml:space="preserve"> </w:t>
      </w:r>
      <w:r w:rsidRPr="00B83875">
        <w:rPr>
          <w:b/>
        </w:rPr>
        <w:t>rendszer bevezetése</w:t>
      </w:r>
      <w:r w:rsidRPr="00B83875">
        <w:rPr>
          <w:b/>
        </w:rPr>
        <w:br/>
      </w:r>
      <w:r w:rsidRPr="00B83875">
        <w:t>Az állami forrásból támogatott nagyobb programok monitoringja</w:t>
      </w:r>
      <w:r>
        <w:t xml:space="preserve"> és eredményértékelése</w:t>
      </w:r>
      <w:r w:rsidRPr="00B83875">
        <w:t xml:space="preserve"> Önálló Hatékonyságvizsgálati Egység bevonásával. (</w:t>
      </w:r>
      <w:hyperlink w:anchor="_Mérés_és_minőségbiztosítás" w:history="1">
        <w:r w:rsidRPr="00B83875">
          <w:rPr>
            <w:rStyle w:val="Hiperhivatkozs"/>
          </w:rPr>
          <w:t>6. fejezet</w:t>
        </w:r>
      </w:hyperlink>
      <w:r w:rsidRPr="00B83875">
        <w:t>)</w:t>
      </w:r>
      <w:commentRangeEnd w:id="1"/>
      <w:r w:rsidRPr="00B83875">
        <w:rPr>
          <w:rStyle w:val="Jegyzethivatkozs"/>
          <w:sz w:val="24"/>
          <w:szCs w:val="24"/>
        </w:rPr>
        <w:commentReference w:id="1"/>
      </w:r>
    </w:p>
    <w:p w14:paraId="6963546A" w14:textId="77777777" w:rsidR="0020375F" w:rsidRPr="00B83875" w:rsidRDefault="0020375F" w:rsidP="0020375F">
      <w:pPr>
        <w:spacing w:after="120"/>
      </w:pPr>
      <w:r w:rsidRPr="00B83875">
        <w:rPr>
          <w:b/>
        </w:rPr>
        <w:t>6. Pedagógus-, óvodapedagógus és újságírói továbbképzési program indítása</w:t>
      </w:r>
      <w:r w:rsidRPr="00B83875">
        <w:rPr>
          <w:b/>
        </w:rPr>
        <w:br/>
      </w:r>
      <w:r w:rsidRPr="00B83875">
        <w:t>A fenntarthatósági kompetenciák országos fejlesztése érdekében.</w:t>
      </w:r>
    </w:p>
    <w:p w14:paraId="22AA5840" w14:textId="77777777" w:rsidR="0020375F" w:rsidRPr="00B83875" w:rsidRDefault="0020375F" w:rsidP="0020375F">
      <w:pPr>
        <w:spacing w:after="120"/>
      </w:pPr>
      <w:r w:rsidRPr="00B83875">
        <w:rPr>
          <w:b/>
        </w:rPr>
        <w:t>7. Fenntarthatósági intézményfejlesztési program</w:t>
      </w:r>
      <w:r w:rsidRPr="00B83875">
        <w:rPr>
          <w:b/>
        </w:rPr>
        <w:br/>
      </w:r>
      <w:r w:rsidRPr="00B83875">
        <w:t>Ökoiskolák, Zöld Óvodák, fenntartható önkormányzatok és vállalatok támogatása.</w:t>
      </w:r>
    </w:p>
    <w:p w14:paraId="7C085EBF" w14:textId="77777777" w:rsidR="0020375F" w:rsidRPr="00B83875" w:rsidRDefault="0020375F" w:rsidP="0020375F">
      <w:pPr>
        <w:spacing w:after="120"/>
      </w:pPr>
      <w:r w:rsidRPr="00B83875">
        <w:rPr>
          <w:b/>
        </w:rPr>
        <w:t>8. Országos klíma-, víztudatossági-, biodiverzitási és körforgásos gazdasági szemléletformálási program</w:t>
      </w:r>
      <w:r w:rsidRPr="00B83875">
        <w:rPr>
          <w:b/>
        </w:rPr>
        <w:br/>
      </w:r>
      <w:r w:rsidRPr="00B83875">
        <w:t>A klímaalkalmazkodás, a klímavédelmi szemléletformálás</w:t>
      </w:r>
      <w:r>
        <w:t xml:space="preserve"> és </w:t>
      </w:r>
      <w:r w:rsidRPr="00F949CC">
        <w:t>viselkedésváltoztatás</w:t>
      </w:r>
      <w:r w:rsidRPr="00B83875">
        <w:t>, vízérték-tudatosság, biodiverzitás, megelőzés, újrahasználat és javítás, a fenntartható települési vízgazdálkodás témáira épülő programok (</w:t>
      </w:r>
      <w:hyperlink w:anchor="_Pilot_akciók" w:history="1">
        <w:r w:rsidRPr="00B83875">
          <w:rPr>
            <w:rStyle w:val="Hiperhivatkozs"/>
          </w:rPr>
          <w:t>8. fejezet</w:t>
        </w:r>
      </w:hyperlink>
      <w:r w:rsidRPr="00B83875">
        <w:t>)</w:t>
      </w:r>
    </w:p>
    <w:p w14:paraId="6827BADF" w14:textId="77777777" w:rsidR="0020375F" w:rsidRPr="00B83875" w:rsidRDefault="0020375F" w:rsidP="0020375F">
      <w:pPr>
        <w:spacing w:after="120"/>
      </w:pPr>
      <w:r w:rsidRPr="00B83875">
        <w:rPr>
          <w:b/>
        </w:rPr>
        <w:t>9. Nemzeti Fenntarthatósági Hónap létrehozása</w:t>
      </w:r>
      <w:r w:rsidRPr="00B83875">
        <w:rPr>
          <w:b/>
        </w:rPr>
        <w:br/>
      </w:r>
      <w:r w:rsidRPr="00B83875">
        <w:t>Az állami, civil, oktatási és vállalati programok összehangolt országos megjelenésével.</w:t>
      </w:r>
    </w:p>
    <w:p w14:paraId="5738F605" w14:textId="77777777" w:rsidR="0020375F" w:rsidRPr="00B83875" w:rsidRDefault="0020375F" w:rsidP="0020375F">
      <w:pPr>
        <w:spacing w:after="120"/>
      </w:pPr>
      <w:r w:rsidRPr="00B83875">
        <w:rPr>
          <w:b/>
        </w:rPr>
        <w:t>10. Nemzetközi képviselet, a magyar megoldások megosztása, nemzetközi projektekbe</w:t>
      </w:r>
      <w:r w:rsidRPr="00B83875">
        <w:t xml:space="preserve"> </w:t>
      </w:r>
      <w:r w:rsidRPr="00B83875">
        <w:rPr>
          <w:b/>
        </w:rPr>
        <w:t>való integrálása</w:t>
      </w:r>
      <w:r w:rsidRPr="00B83875">
        <w:rPr>
          <w:b/>
        </w:rPr>
        <w:br/>
      </w:r>
      <w:r w:rsidRPr="00B83875">
        <w:t>Hazai jó gyakorlatok és módszertanok megosztása, nemzetközi trendek elsajátítása, beépítése</w:t>
      </w:r>
    </w:p>
    <w:p w14:paraId="706049B7" w14:textId="77777777" w:rsidR="00784861" w:rsidRDefault="00784861"/>
    <w:sectPr w:rsidR="00784861" w:rsidSect="0020375F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arna Kinga" w:date="2026-08-03T16:04:00Z" w:initials="KB">
    <w:p w14:paraId="1BD41236" w14:textId="77777777" w:rsidR="0020375F" w:rsidRDefault="0020375F" w:rsidP="00C86F75">
      <w:pPr>
        <w:pStyle w:val="Jegyzetszveg"/>
      </w:pPr>
      <w:r>
        <w:rPr>
          <w:rStyle w:val="Jegyzethivatkozs"/>
        </w:rPr>
        <w:annotationRef/>
      </w:r>
      <w:r>
        <w:rPr>
          <w:color w:val="242424"/>
          <w:highlight w:val="white"/>
        </w:rPr>
        <w:t>[MÉRÉS] A „monitoring” önmagában kevés. A követelmény legyen változáselmélet-alapú: valós viselkedés, szolgáltatáshasználat, társas norma, intézményi átvétel, környezeti eredmény, méltányosság és nem kívánt hatások mérése; ahol lehetséges, összehasonlító csoporttal vagy terepkísérlettel. Action plan függelékében írtam javaslatot...</w:t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BD4123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90D919" w16cex:dateUtc="2026-08-03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D41236" w16cid:durableId="6C90D9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85C38" w14:textId="77777777" w:rsidR="00D816E6" w:rsidRDefault="00D816E6" w:rsidP="0020375F">
      <w:r>
        <w:separator/>
      </w:r>
    </w:p>
  </w:endnote>
  <w:endnote w:type="continuationSeparator" w:id="0">
    <w:p w14:paraId="150412DA" w14:textId="77777777" w:rsidR="00D816E6" w:rsidRDefault="00D816E6" w:rsidP="0020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8F6E2" w14:textId="77777777" w:rsidR="00D816E6" w:rsidRDefault="00D816E6" w:rsidP="0020375F">
      <w:r>
        <w:separator/>
      </w:r>
    </w:p>
  </w:footnote>
  <w:footnote w:type="continuationSeparator" w:id="0">
    <w:p w14:paraId="311F9DAC" w14:textId="77777777" w:rsidR="00D816E6" w:rsidRDefault="00D816E6" w:rsidP="0020375F">
      <w:r>
        <w:continuationSeparator/>
      </w:r>
    </w:p>
  </w:footnote>
  <w:footnote w:id="1">
    <w:p w14:paraId="31CB662E" w14:textId="77777777" w:rsidR="0020375F" w:rsidRDefault="0020375F" w:rsidP="0020375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hyperlink r:id="rId1" w:history="1">
        <w:r w:rsidRPr="00900ABA">
          <w:rPr>
            <w:rStyle w:val="Hiperhivatkozs"/>
          </w:rPr>
          <w:t>https://kszgysz.hu/kornyezetvedelmi-szemleletformalas-es-edukacio-munkacsoport-2/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C3054"/>
    <w:multiLevelType w:val="hybridMultilevel"/>
    <w:tmpl w:val="08B8EC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08816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na Kinga">
    <w15:presenceInfo w15:providerId="AD" w15:userId="S::barna.kinga@kszgysz.hu::6c5c7a69-aab7-48b7-ab78-0ba24bc57d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5F"/>
    <w:rsid w:val="0019381F"/>
    <w:rsid w:val="0020375F"/>
    <w:rsid w:val="00784861"/>
    <w:rsid w:val="008C260A"/>
    <w:rsid w:val="00C102A0"/>
    <w:rsid w:val="00D8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B650"/>
  <w15:chartTrackingRefBased/>
  <w15:docId w15:val="{4E066E18-3507-45C5-BE9D-B3AEC755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nhideWhenUsed/>
    <w:rsid w:val="0020375F"/>
    <w:pPr>
      <w:spacing w:after="0" w:line="240" w:lineRule="auto"/>
    </w:pPr>
    <w:rPr>
      <w:rFonts w:ascii="Aptos" w:hAnsi="Aptos" w:cs="Aptos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03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03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03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03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03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037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037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037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037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03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03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03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0375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0375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0375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0375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0375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0375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037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03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03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03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03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0375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0375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0375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03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0375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0375F"/>
    <w:rPr>
      <w:b/>
      <w:bCs/>
      <w:smallCaps/>
      <w:color w:val="0F4761" w:themeColor="accent1" w:themeShade="BF"/>
      <w:spacing w:val="5"/>
    </w:rPr>
  </w:style>
  <w:style w:type="paragraph" w:styleId="Jegyzetszveg">
    <w:name w:val="annotation text"/>
    <w:basedOn w:val="Norml"/>
    <w:link w:val="JegyzetszvegChar1"/>
    <w:uiPriority w:val="99"/>
    <w:semiHidden/>
    <w:unhideWhenUsed/>
    <w:rsid w:val="0020375F"/>
    <w:rPr>
      <w:sz w:val="20"/>
      <w:szCs w:val="20"/>
    </w:rPr>
  </w:style>
  <w:style w:type="character" w:customStyle="1" w:styleId="JegyzetszvegChar">
    <w:name w:val="Jegyzetszöveg Char"/>
    <w:basedOn w:val="Bekezdsalapbettpusa"/>
    <w:uiPriority w:val="99"/>
    <w:semiHidden/>
    <w:rsid w:val="0020375F"/>
    <w:rPr>
      <w:rFonts w:ascii="Aptos" w:hAnsi="Aptos" w:cs="Aptos"/>
      <w:kern w:val="0"/>
      <w:sz w:val="20"/>
      <w:szCs w:val="20"/>
      <w:lang w:eastAsia="hu-HU"/>
      <w14:ligatures w14:val="none"/>
    </w:rPr>
  </w:style>
  <w:style w:type="character" w:customStyle="1" w:styleId="JegyzetszvegChar1">
    <w:name w:val="Jegyzetszöveg Char1"/>
    <w:basedOn w:val="Bekezdsalapbettpusa"/>
    <w:link w:val="Jegyzetszveg"/>
    <w:uiPriority w:val="99"/>
    <w:semiHidden/>
    <w:rsid w:val="0020375F"/>
    <w:rPr>
      <w:rFonts w:ascii="Aptos" w:hAnsi="Aptos" w:cs="Aptos"/>
      <w:kern w:val="0"/>
      <w:sz w:val="20"/>
      <w:szCs w:val="20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0375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0375F"/>
    <w:rPr>
      <w:rFonts w:ascii="Aptos" w:hAnsi="Aptos" w:cs="Aptos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20375F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20375F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20375F"/>
    <w:rPr>
      <w:sz w:val="16"/>
      <w:szCs w:val="16"/>
    </w:rPr>
  </w:style>
  <w:style w:type="paragraph" w:customStyle="1" w:styleId="Normal5">
    <w:name w:val="Normal5"/>
    <w:basedOn w:val="Norml"/>
    <w:rsid w:val="0020375F"/>
    <w:rPr>
      <w:rFonts w:cs="Times New Roman"/>
      <w:kern w:val="2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szgysz.hu/kornyezetvedelmi-szemleletformalas-es-edukacio-munkacsoport-2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4294</Characters>
  <Application>Microsoft Office Word</Application>
  <DocSecurity>0</DocSecurity>
  <Lines>104</Lines>
  <Paragraphs>83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Istenes Anna</dc:creator>
  <cp:keywords/>
  <dc:description/>
  <cp:lastModifiedBy>Istenes Anna</cp:lastModifiedBy>
  <cp:revision>1</cp:revision>
  <dcterms:created xsi:type="dcterms:W3CDTF">2026-08-06T12:44:00Z</dcterms:created>
  <dcterms:modified xsi:type="dcterms:W3CDTF">2026-08-06T12:48:00Z</dcterms:modified>
</cp:coreProperties>
</file>